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right"/>
        <w:rPr>
          <w:rFonts w:ascii="PT Astra Serif" w:hAnsi="PT Astra Serif"/>
          <w:i w:val="1"/>
          <w:sz w:val="24"/>
        </w:rPr>
      </w:pPr>
      <w:r>
        <w:rPr>
          <w:rFonts w:ascii="PT Astra Serif" w:hAnsi="PT Astra Serif"/>
          <w:i w:val="1"/>
          <w:sz w:val="24"/>
        </w:rPr>
        <w:t>Проект на 21.10.2024</w:t>
      </w:r>
    </w:p>
    <w:p w14:paraId="03000000">
      <w:pPr>
        <w:ind/>
        <w:jc w:val="center"/>
        <w:rPr>
          <w:rFonts w:ascii="PT Astra Serif" w:hAnsi="PT Astra Serif"/>
        </w:rPr>
      </w:pPr>
    </w:p>
    <w:p w14:paraId="04000000">
      <w:pPr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Программа семинара</w:t>
      </w:r>
    </w:p>
    <w:p w14:paraId="05000000">
      <w:pPr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«Поддержка внешнеторговой деятельности в современных условиях»</w:t>
      </w:r>
    </w:p>
    <w:p w14:paraId="06000000">
      <w:pPr>
        <w:ind/>
        <w:jc w:val="center"/>
        <w:rPr>
          <w:rFonts w:ascii="PT Astra Serif" w:hAnsi="PT Astra Serif"/>
        </w:rPr>
      </w:pPr>
    </w:p>
    <w:p w14:paraId="07000000">
      <w:pPr>
        <w:rPr>
          <w:rFonts w:ascii="PT Astra Serif" w:hAnsi="PT Astra Serif"/>
        </w:rPr>
      </w:pPr>
      <w:r>
        <w:rPr>
          <w:rFonts w:ascii="PT Astra Serif" w:hAnsi="PT Astra Serif"/>
        </w:rPr>
        <w:t>28 октября 2024 (15:00 - 17:00)</w:t>
      </w:r>
    </w:p>
    <w:p w14:paraId="08000000">
      <w:pPr>
        <w:rPr>
          <w:rFonts w:ascii="PT Astra Serif" w:hAnsi="PT Astra Serif"/>
        </w:rPr>
      </w:pPr>
      <w:r>
        <w:rPr>
          <w:rFonts w:ascii="PT Astra Serif" w:hAnsi="PT Astra Serif"/>
        </w:rPr>
        <w:t>г. Барнаул, Социалистический проспект, 68, аудитория 202</w:t>
      </w:r>
    </w:p>
    <w:p w14:paraId="09000000">
      <w:pPr>
        <w:rPr>
          <w:rFonts w:ascii="PT Astra Serif" w:hAnsi="PT Astra Serif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58"/>
        <w:gridCol w:w="4466"/>
        <w:gridCol w:w="4500"/>
      </w:tblGrid>
      <w:tr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 w:right="-4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Время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 w:right="-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Тема выступления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 w:right="-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Спикер</w:t>
            </w:r>
          </w:p>
        </w:tc>
      </w:tr>
      <w:tr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15:00 - 15:15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 w:right="-4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Открытие семинара.</w:t>
            </w:r>
          </w:p>
          <w:p w14:paraId="0F000000">
            <w:pPr>
              <w:ind w:right="-4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состоянии экспорта и развитии экспортного потенциала Алтайского края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 w:right="-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Кореннов</w:t>
            </w:r>
            <w:r>
              <w:rPr>
                <w:rFonts w:ascii="PT Astra Serif" w:hAnsi="PT Astra Serif"/>
                <w:sz w:val="24"/>
              </w:rPr>
              <w:t xml:space="preserve"> Сергей Александрович,  заместитель министра экономического развития Алтайского края, начальник управления инновационного развития и кластерной политики</w:t>
            </w:r>
          </w:p>
        </w:tc>
      </w:tr>
      <w:tr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15:15 - 15:30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hanging="33" w:left="33" w:right="-41"/>
              <w:jc w:val="both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Комплексные услуги и меры поддержки, оказываемые Центром поддержки экспорта НО «Алтайский фонд МСП»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right="-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Татаринцев Станислав Евгеньевич, директор </w:t>
            </w:r>
            <w:r>
              <w:rPr>
                <w:rFonts w:ascii="PT Astra Serif" w:hAnsi="PT Astra Serif"/>
                <w:sz w:val="24"/>
              </w:rPr>
              <w:t>НО «Алтайский фонд МСП»</w:t>
            </w:r>
          </w:p>
        </w:tc>
      </w:tr>
      <w:tr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15:30 - 15:45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right="-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Последние тенденции таможенного регулирования в современных условиях: актуальные вопросы и практики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 w:right="-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Киселев Андрей Витальевич, начальник отдела запретов, ограничений и товарной номенклатуры </w:t>
            </w:r>
            <w:r>
              <w:rPr>
                <w:rFonts w:ascii="PT Astra Serif" w:hAnsi="PT Astra Serif"/>
                <w:sz w:val="24"/>
              </w:rPr>
              <w:t>Алтайской таможни</w:t>
            </w:r>
          </w:p>
        </w:tc>
      </w:tr>
      <w:tr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15:45 - 16:00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rPr>
                <w:rFonts w:ascii="PT Astra Serif" w:hAnsi="PT Astra Serif"/>
                <w:sz w:val="24"/>
              </w:rPr>
              <w:t>Порядок предоставления в таможенные органы статистических форм учета перемещения товаров в рамках ЕАЭС. Административная ответственность предусмотренная ст. 19.7.13 КоАП РФ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right="-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Чекмачева Наталья Борисовна, начальник отделения таможенной статистики Алтайской таможни</w:t>
            </w:r>
          </w:p>
        </w:tc>
      </w:tr>
      <w:tr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16:00 - 16:40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right="-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Программа продвижения «Сделано в России». Электронные торговые площадки и сервисы РЭЦ по выходу на экспорт через онлайн-каналы</w:t>
            </w:r>
          </w:p>
          <w:p w14:paraId="1C000000">
            <w:pPr>
              <w:ind w:right="-41"/>
              <w:jc w:val="both"/>
              <w:rPr>
                <w:rFonts w:ascii="PT Astra Serif" w:hAnsi="PT Astra Serif"/>
                <w:sz w:val="24"/>
              </w:rPr>
            </w:pPr>
          </w:p>
          <w:p w14:paraId="1D000000">
            <w:pPr>
              <w:ind w:right="-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Бизнес-игра «Вступление в программу «Сделано в России»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 w:right="-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Брагова Елена Анатольевна, руководитель представительства АО «Российский экспортный центр» в г. Новосибирск</w:t>
            </w:r>
          </w:p>
        </w:tc>
      </w:tr>
      <w:tr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16:40 - 17:00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 w:right="-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Закрытие семинара.</w:t>
            </w:r>
          </w:p>
          <w:p w14:paraId="21000000">
            <w:pPr>
              <w:ind w:right="-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Вопросы. Обсуждения.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right="-41"/>
              <w:jc w:val="both"/>
              <w:rPr>
                <w:rFonts w:ascii="PT Astra Serif" w:hAnsi="PT Astra Serif"/>
                <w:sz w:val="24"/>
                <w:highlight w:val="yellow"/>
              </w:rPr>
            </w:pPr>
          </w:p>
        </w:tc>
      </w:tr>
    </w:tbl>
    <w:p w14:paraId="23000000">
      <w:pPr>
        <w:rPr>
          <w:rFonts w:ascii="PT Astra Serif" w:hAnsi="PT Astra Serif"/>
          <w:sz w:val="28"/>
        </w:rPr>
      </w:pPr>
      <w:bookmarkStart w:id="1" w:name="_GoBack"/>
      <w:bookmarkEnd w:id="1"/>
    </w:p>
    <w:sectPr>
      <w:headerReference r:id="rId1" w:type="default"/>
      <w:pgSz w:h="16838" w:orient="portrait" w:w="11906"/>
      <w:pgMar w:bottom="426" w:footer="709" w:gutter="0" w:header="709" w:left="1134" w:right="74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ПРИЛОЖЕНИЕ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Обычный1"/>
    <w:link w:val="Style_12_ch"/>
    <w:rPr>
      <w:rFonts w:ascii="Times New Roman" w:hAnsi="Times New Roman"/>
      <w:sz w:val="24"/>
    </w:rPr>
  </w:style>
  <w:style w:styleId="Style_12_ch" w:type="character">
    <w:name w:val="Обычный1"/>
    <w:link w:val="Style_12"/>
    <w:rPr>
      <w:rFonts w:ascii="Times New Roman" w:hAnsi="Times New Roman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Обычный1"/>
    <w:link w:val="Style_14_ch"/>
    <w:rPr>
      <w:rFonts w:ascii="Times New Roman" w:hAnsi="Times New Roman"/>
      <w:sz w:val="24"/>
    </w:rPr>
  </w:style>
  <w:style w:styleId="Style_14_ch" w:type="character">
    <w:name w:val="Обычный1"/>
    <w:link w:val="Style_14"/>
    <w:rPr>
      <w:rFonts w:ascii="Times New Roman" w:hAnsi="Times New Roman"/>
      <w:sz w:val="24"/>
    </w:rPr>
  </w:style>
  <w:style w:styleId="Style_15" w:type="paragraph">
    <w:name w:val="toc 3"/>
    <w:next w:val="Style_3"/>
    <w:link w:val="Style_15_ch"/>
    <w:uiPriority w:val="39"/>
    <w:pPr>
      <w:ind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Обычный1"/>
    <w:link w:val="Style_19_ch"/>
    <w:rPr>
      <w:rFonts w:ascii="Times New Roman" w:hAnsi="Times New Roman"/>
      <w:sz w:val="24"/>
    </w:rPr>
  </w:style>
  <w:style w:styleId="Style_19_ch" w:type="character">
    <w:name w:val="Обычный1"/>
    <w:link w:val="Style_19"/>
    <w:rPr>
      <w:rFonts w:ascii="Times New Roman" w:hAnsi="Times New Roman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toc 9"/>
    <w:next w:val="Style_3"/>
    <w:link w:val="Style_24_ch"/>
    <w:uiPriority w:val="39"/>
    <w:pPr>
      <w:ind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toc 5"/>
    <w:next w:val="Style_3"/>
    <w:link w:val="Style_29_ch"/>
    <w:uiPriority w:val="39"/>
    <w:pPr>
      <w:ind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header"/>
    <w:basedOn w:val="Style_3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3_ch"/>
    <w:link w:val="Style_30"/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2024-10-21T03:20:09Z</dcterms:modified>
</cp:coreProperties>
</file>